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26-116</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11</w:t>
      </w:r>
    </w:p>
    <w:p>
      <w:pPr>
        <w:spacing w:before="0" w:after="0" w:line="480"/>
        <w:ind w:left="120"/>
        <w:jc w:val="center"/>
      </w:pPr>
      <w:r>
        <w:rPr>
          <w:rFonts w:ascii="Times New Roman" w:hAnsi="Times New Roman"/>
          <w:b w:val="false"/>
          <w:i w:val="false"/>
          <w:color w:val="000000"/>
          <w:sz w:val="24"/>
        </w:rPr>
        <w:t>“Asset Ownership and Demarcation”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Des Moines, Iowa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Pursuant to Executive Order 10, the agency proposes to rescind Chapter 11 and adopt a new chapter in lieu thereof. The chapter describes the asset allocation and ownership in which the network is administered throughout the State. This proposed rulemaking eliminates language that is overly restrictive or obsolete and shortens the chapter.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this chapter simply provides organizational structure for the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on asset allocation and ownership for the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There are no costs to the State or the agency associated with this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has no costs associated with it and ensures the agency has a basic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rules are required to establish the basic regulatory framework mandated by Iowa Code chapter 8D.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w:t>
      </w:r>
    </w:p>
    <w:p>
      <w:pPr>
        <w:spacing w:before="0" w:after="0" w:line="480"/>
        <w:ind w:left="120"/>
        <w:jc w:val="center"/>
      </w:pPr>
      <w:r>
        <w:rPr>
          <w:rFonts w:ascii="Times New Roman" w:hAnsi="Times New Roman"/>
          <w:b w:val="false"/>
          <w:i w:val="false"/>
          <w:color w:val="000000"/>
          <w:sz w:val="21"/>
        </w:rPr>
        <w:t>ASSET OWNERSHIP AND DEMARCATION</w:t>
      </w:r>
    </w:p>
    <w:p>
      <w:pPr>
        <w:spacing w:before="0" w:after="0" w:line="480"/>
        <w:ind w:left="120"/>
        <w:jc w:val="both"/>
      </w:pPr>
      <w:r>
        <w:rPr>
          <w:rFonts w:ascii="Times New Roman" w:hAnsi="Times New Roman"/>
          <w:b/>
          <w:i w:val="false"/>
          <w:color w:val="000000"/>
          <w:sz w:val="24"/>
        </w:rPr>
        <w:t>751—11.1</w:t>
      </w:r>
      <w:r>
        <w:rPr>
          <w:rFonts w:ascii="Times New Roman" w:hAnsi="Times New Roman"/>
          <w:b/>
          <w:i w:val="false"/>
          <w:color w:val="000000"/>
          <w:sz w:val="24"/>
        </w:rPr>
        <w:t xml:space="preserve">(8D) </w:t>
      </w:r>
      <w:r>
        <w:rPr>
          <w:rFonts w:ascii="Times New Roman" w:hAnsi="Times New Roman"/>
          <w:b/>
          <w:i w:val="false"/>
          <w:color w:val="000000"/>
          <w:sz w:val="24"/>
        </w:rPr>
        <w:t xml:space="preserve">Asset ownership.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w:t>
      </w:r>
      <w:r>
        <w:rPr>
          <w:rFonts w:ascii="Times New Roman" w:hAnsi="Times New Roman"/>
          <w:b w:val="false"/>
          <w:i w:val="false"/>
          <w:color w:val="000000"/>
          <w:sz w:val="24"/>
        </w:rPr>
        <w:t> </w:t>
      </w:r>
      <w:r>
        <w:rPr>
          <w:rFonts w:ascii="Times New Roman" w:hAnsi="Times New Roman"/>
          <w:b w:val="false"/>
          <w:i/>
          <w:color w:val="000000"/>
          <w:sz w:val="24"/>
        </w:rPr>
        <w:t xml:space="preserve">Network backbone. </w:t>
      </w:r>
      <w:r>
        <w:rPr>
          <w:rFonts w:ascii="Times New Roman" w:hAnsi="Times New Roman"/>
          <w:b w:val="false"/>
          <w:i w:val="false"/>
          <w:color w:val="000000"/>
          <w:sz w:val="24"/>
        </w:rPr>
        <w:t>The network backbone (Part I) and the regional aggregation points (Part II) are the property of the state of Iowa and are managed and maintained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w:t>
      </w:r>
      <w:r>
        <w:rPr>
          <w:rFonts w:ascii="Times New Roman" w:hAnsi="Times New Roman"/>
          <w:b w:val="false"/>
          <w:i w:val="false"/>
          <w:color w:val="000000"/>
          <w:sz w:val="24"/>
        </w:rPr>
        <w:t> </w:t>
      </w:r>
      <w:r>
        <w:rPr>
          <w:rFonts w:ascii="Times New Roman" w:hAnsi="Times New Roman"/>
          <w:b w:val="false"/>
          <w:i/>
          <w:color w:val="000000"/>
          <w:sz w:val="24"/>
        </w:rPr>
        <w:t xml:space="preserve">Last mile connections. </w:t>
      </w:r>
      <w:r>
        <w:rPr>
          <w:rFonts w:ascii="Times New Roman" w:hAnsi="Times New Roman"/>
          <w:b w:val="false"/>
          <w:i w:val="false"/>
          <w:color w:val="000000"/>
          <w:sz w:val="24"/>
        </w:rPr>
        <w:t>Part III connections (the “last mile” to the authorized user) may be owned by the state, leased from private telecommunications providers, or owned by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State-owned. </w:t>
      </w:r>
      <w:r>
        <w:rPr>
          <w:rFonts w:ascii="Times New Roman" w:hAnsi="Times New Roman"/>
          <w:b w:val="false"/>
          <w:i w:val="false"/>
          <w:color w:val="000000"/>
          <w:sz w:val="24"/>
        </w:rPr>
        <w:t>Where the commission has constructed and owns the Part III connection, the commission is responsible for maintenance up to the demarcation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Leased. </w:t>
      </w:r>
      <w:r>
        <w:rPr>
          <w:rFonts w:ascii="Times New Roman" w:hAnsi="Times New Roman"/>
          <w:b w:val="false"/>
          <w:i w:val="false"/>
          <w:color w:val="000000"/>
          <w:sz w:val="24"/>
        </w:rPr>
        <w:t>Where the commission leases the Part III connection from a third-party provider, maintenance and repair responsibilities are governed by the terms of the lease agreement between the commission and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User-owned. </w:t>
      </w:r>
      <w:r>
        <w:rPr>
          <w:rFonts w:ascii="Times New Roman" w:hAnsi="Times New Roman"/>
          <w:b w:val="false"/>
          <w:i w:val="false"/>
          <w:color w:val="000000"/>
          <w:sz w:val="24"/>
        </w:rPr>
        <w:t>Where the authorized user owns the connection (e.g., fiber installed by a school district), the authorized user is solely responsible for maintenance and repair.</w:t>
      </w:r>
    </w:p>
    <w:p>
      <w:pPr>
        <w:spacing w:before="0" w:after="0" w:line="480"/>
        <w:ind w:left="120"/>
        <w:jc w:val="both"/>
      </w:pPr>
      <w:r>
        <w:rPr>
          <w:rFonts w:ascii="Times New Roman" w:hAnsi="Times New Roman"/>
          <w:b/>
          <w:i w:val="false"/>
          <w:color w:val="000000"/>
          <w:sz w:val="24"/>
        </w:rPr>
        <w:t>751—11.2</w:t>
      </w:r>
      <w:r>
        <w:rPr>
          <w:rFonts w:ascii="Times New Roman" w:hAnsi="Times New Roman"/>
          <w:b/>
          <w:i w:val="false"/>
          <w:color w:val="000000"/>
          <w:sz w:val="24"/>
        </w:rPr>
        <w:t xml:space="preserve">(8D) </w:t>
      </w:r>
      <w:r>
        <w:rPr>
          <w:rFonts w:ascii="Times New Roman" w:hAnsi="Times New Roman"/>
          <w:b/>
          <w:i w:val="false"/>
          <w:color w:val="000000"/>
          <w:sz w:val="24"/>
        </w:rPr>
        <w:t xml:space="preserve">Demarcation point.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The demarcation point (demarc) is the physical point where the commission’s responsibility for the network ends and the authorized user’s responsibility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w:t>
      </w:r>
      <w:r>
        <w:rPr>
          <w:rFonts w:ascii="Times New Roman" w:hAnsi="Times New Roman"/>
          <w:b w:val="false"/>
          <w:i w:val="false"/>
          <w:color w:val="000000"/>
          <w:sz w:val="24"/>
        </w:rPr>
        <w:t> </w:t>
      </w:r>
      <w:r>
        <w:rPr>
          <w:rFonts w:ascii="Times New Roman" w:hAnsi="Times New Roman"/>
          <w:b w:val="false"/>
          <w:i/>
          <w:color w:val="000000"/>
          <w:sz w:val="24"/>
        </w:rPr>
        <w:t xml:space="preserve">Location. </w:t>
      </w:r>
      <w:r>
        <w:rPr>
          <w:rFonts w:ascii="Times New Roman" w:hAnsi="Times New Roman"/>
          <w:b w:val="false"/>
          <w:i w:val="false"/>
          <w:color w:val="000000"/>
          <w:sz w:val="24"/>
        </w:rPr>
        <w:t>Unless otherwise specified in a service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Fiber connections. </w:t>
      </w:r>
      <w:r>
        <w:rPr>
          <w:rFonts w:ascii="Times New Roman" w:hAnsi="Times New Roman"/>
          <w:b w:val="false"/>
          <w:i w:val="false"/>
          <w:color w:val="000000"/>
          <w:sz w:val="24"/>
        </w:rPr>
        <w:t>The demarc is the termination panel or optical network terminal (ONT) installed by the commission at the authorized user’s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Equipment. </w:t>
      </w:r>
      <w:r>
        <w:rPr>
          <w:rFonts w:ascii="Times New Roman" w:hAnsi="Times New Roman"/>
          <w:b w:val="false"/>
          <w:i w:val="false"/>
          <w:color w:val="000000"/>
          <w:sz w:val="24"/>
        </w:rPr>
        <w:t>The commission retains ownership and maintenance responsibility for the electronics (routers, switches) provided by the commission to deliver service up to the hand-off port on that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w:t>
      </w:r>
      <w:r>
        <w:rPr>
          <w:rFonts w:ascii="Times New Roman" w:hAnsi="Times New Roman"/>
          <w:b w:val="false"/>
          <w:i w:val="false"/>
          <w:color w:val="000000"/>
          <w:sz w:val="24"/>
        </w:rPr>
        <w:t> </w:t>
      </w:r>
      <w:r>
        <w:rPr>
          <w:rFonts w:ascii="Times New Roman" w:hAnsi="Times New Roman"/>
          <w:b w:val="false"/>
          <w:i/>
          <w:color w:val="000000"/>
          <w:sz w:val="24"/>
        </w:rPr>
        <w:t xml:space="preserve">Internal wiring. </w:t>
      </w:r>
      <w:r>
        <w:rPr>
          <w:rFonts w:ascii="Times New Roman" w:hAnsi="Times New Roman"/>
          <w:b w:val="false"/>
          <w:i w:val="false"/>
          <w:color w:val="000000"/>
          <w:sz w:val="24"/>
        </w:rPr>
        <w:t>The authorized user is responsible for all internal building wiring, cabling, cross-connects, and power beyond the demarcation point.</w:t>
      </w:r>
    </w:p>
    <w:p>
      <w:pPr>
        <w:spacing w:before="0" w:after="0" w:line="480"/>
        <w:ind w:left="120"/>
        <w:jc w:val="both"/>
      </w:pPr>
      <w:r>
        <w:rPr>
          <w:rFonts w:ascii="Times New Roman" w:hAnsi="Times New Roman"/>
          <w:b/>
          <w:i w:val="false"/>
          <w:color w:val="000000"/>
          <w:sz w:val="24"/>
        </w:rPr>
        <w:t>751—11.3</w:t>
      </w:r>
      <w:r>
        <w:rPr>
          <w:rFonts w:ascii="Times New Roman" w:hAnsi="Times New Roman"/>
          <w:b/>
          <w:i w:val="false"/>
          <w:color w:val="000000"/>
          <w:sz w:val="24"/>
        </w:rPr>
        <w:t xml:space="preserve">(8D) </w:t>
      </w:r>
      <w:r>
        <w:rPr>
          <w:rFonts w:ascii="Times New Roman" w:hAnsi="Times New Roman"/>
          <w:b/>
          <w:i w:val="false"/>
          <w:color w:val="000000"/>
          <w:sz w:val="24"/>
        </w:rPr>
        <w:t xml:space="preserve">Equipment return and liability.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w:t>
      </w:r>
      <w:r>
        <w:rPr>
          <w:rFonts w:ascii="Times New Roman" w:hAnsi="Times New Roman"/>
          <w:b w:val="false"/>
          <w:i w:val="false"/>
          <w:color w:val="000000"/>
          <w:sz w:val="24"/>
        </w:rPr>
        <w:t> </w:t>
      </w:r>
      <w:r>
        <w:rPr>
          <w:rFonts w:ascii="Times New Roman" w:hAnsi="Times New Roman"/>
          <w:b w:val="false"/>
          <w:i/>
          <w:color w:val="000000"/>
          <w:sz w:val="24"/>
        </w:rPr>
        <w:t xml:space="preserve">Access. </w:t>
      </w:r>
      <w:r>
        <w:rPr>
          <w:rFonts w:ascii="Times New Roman" w:hAnsi="Times New Roman"/>
          <w:b w:val="false"/>
          <w:i w:val="false"/>
          <w:color w:val="000000"/>
          <w:sz w:val="24"/>
        </w:rPr>
        <w:t>Upon the termination of service, the authorized user shall permit the commission reasonable access to the premises to remove state-owned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11.3(2)</w:t>
      </w:r>
      <w:r>
        <w:rPr>
          <w:rFonts w:ascii="Times New Roman" w:hAnsi="Times New Roman"/>
          <w:b w:val="false"/>
          <w:i w:val="false"/>
          <w:color w:val="000000"/>
          <w:sz w:val="24"/>
        </w:rPr>
        <w:t> </w:t>
      </w:r>
      <w:r>
        <w:rPr>
          <w:rFonts w:ascii="Times New Roman" w:hAnsi="Times New Roman"/>
          <w:b w:val="false"/>
          <w:i/>
          <w:color w:val="000000"/>
          <w:sz w:val="24"/>
        </w:rPr>
        <w:t xml:space="preserve">Liability. </w:t>
      </w:r>
      <w:r>
        <w:rPr>
          <w:rFonts w:ascii="Times New Roman" w:hAnsi="Times New Roman"/>
          <w:b w:val="false"/>
          <w:i w:val="false"/>
          <w:color w:val="000000"/>
          <w:sz w:val="24"/>
        </w:rPr>
        <w:t>The authorized user constitutes a bailee of state property located on the user’s premises. The authorized user shall be liable for the cost of repair or replacement of any state-owned equipment that is lost, stolen, or damaged due to the negligence or willful misconduct of the user or its agents.</w:t>
      </w:r>
    </w:p>
    <w:p>
      <w:pPr>
        <w:spacing w:before="210" w:after="0" w:line="480"/>
        <w:ind w:left="120"/>
        <w:jc w:val="both"/>
      </w:pPr>
      <w:r>
        <w:rPr>
          <w:rFonts w:ascii="Times New Roman" w:hAnsi="Times New Roman"/>
          <w:b/>
          <w:i w:val="false"/>
          <w:color w:val="000000"/>
          <w:sz w:val="24"/>
        </w:rPr>
        <w:t>751—11.4</w:t>
      </w:r>
      <w:r>
        <w:rPr>
          <w:rFonts w:ascii="Times New Roman" w:hAnsi="Times New Roman"/>
          <w:b/>
          <w:i w:val="false"/>
          <w:color w:val="000000"/>
          <w:sz w:val="24"/>
        </w:rPr>
        <w:t xml:space="preserve">(8D) </w:t>
      </w:r>
      <w:r>
        <w:rPr>
          <w:rFonts w:ascii="Times New Roman" w:hAnsi="Times New Roman"/>
          <w:b/>
          <w:i w:val="false"/>
          <w:color w:val="000000"/>
          <w:sz w:val="24"/>
        </w:rPr>
        <w:t xml:space="preserve">Surplus property. </w:t>
      </w:r>
      <w:r>
        <w:rPr>
          <w:rFonts w:ascii="Times New Roman" w:hAnsi="Times New Roman"/>
          <w:b w:val="false"/>
          <w:i w:val="false"/>
          <w:color w:val="000000"/>
          <w:sz w:val="24"/>
        </w:rPr>
        <w:t xml:space="preserve">The commission shall dispose of obsolete or excess network assets in accordance with rule </w:t>
      </w:r>
      <w:hyperlink r:id="rId6">
        <w:r>
          <w:rPr>
            <w:rStyle w:val="Hyperlink"/>
            <w:rFonts w:ascii="Times New Roman" w:hAnsi="Times New Roman"/>
            <w:b w:val="false"/>
            <w:i w:val="false"/>
            <w:color w:val="000000"/>
            <w:sz w:val="24"/>
          </w:rPr>
          <w:t>751—17.3(8D)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ac/rule/751.17.3.pdf" Type="http://schemas.openxmlformats.org/officeDocument/2006/relationships/hyperlink" Id="rId6"/>
    <Relationship TargetMode="External" Target="https://www.legis.iowa.gov/docs/ico/chapter/8D.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